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704865.xml.htm"/>
      <w:bookmarkStart w:id="1" w:name="kswkform4_17867048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DEASON DOUGLAS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GALAXY DIGITAL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Galaxy Digital Inc.</w:t>
              </w:r>
            </w:hyperlink>
            <w:r>
              <w:rPr/>
              <w:t xml:space="preserve"> [ </w:t>
            </w:r>
            <w:r>
              <w:rPr>
                <w:rFonts w:ascii="Times;serif" w:hAnsi="Times;serif"/>
                <w:color w:val="0000FF"/>
                <w:sz w:val="24"/>
                <w:shd w:fill="FFFFFF" w:val="clear"/>
              </w:rPr>
              <w:t>GLXY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920"/>
        <w:gridCol w:w="444"/>
        <w:gridCol w:w="879"/>
        <w:gridCol w:w="1145"/>
        <w:gridCol w:w="984"/>
        <w:gridCol w:w="94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21.536</w:t>
            </w:r>
            <w:r>
              <w:rPr>
                <w:rFonts w:ascii="Times;serif" w:hAnsi="Times;serif"/>
                <w:color w:val="008000"/>
                <w:position w:val="7"/>
                <w:sz w:val="16"/>
                <w:sz w:val="20"/>
                <w:shd w:fill="FFFFFF" w:val="clear"/>
              </w:rPr>
              <w:t>(1)</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Deason Capital LLC</w:t>
            </w:r>
            <w:r>
              <w:rPr>
                <w:rFonts w:ascii="Times;serif" w:hAnsi="Times;serif"/>
                <w:color w:val="008000"/>
                <w:position w:val="7"/>
                <w:sz w:val="16"/>
                <w:sz w:val="20"/>
                <w:shd w:fill="FFFFFF" w:val="clear"/>
              </w:rPr>
              <w:t>(2)</w:t>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31,348</w:t>
            </w:r>
            <w:r>
              <w:rPr>
                <w:rFonts w:ascii="Times;serif" w:hAnsi="Times;serif"/>
                <w:color w:val="008000"/>
                <w:position w:val="7"/>
                <w:sz w:val="16"/>
                <w:sz w:val="20"/>
                <w:shd w:fill="FFFFFF" w:val="clear"/>
              </w:rPr>
              <w:t>(3)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in Column 4 is a weighted average price. These shares were purchased in multiple transactions at prices ranging from $21.260 to $21.745 per share,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31,348 shares of Class A Common Stock to be delivered in settlement of deferred share unit awards ("DSUs"). The DSU awards, in each case, are subject to continued service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Frances Fuqua, Attorney-in-Fact for Douglas R. Deason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79500" TargetMode="External"/><Relationship Id="rId5" Type="http://schemas.openxmlformats.org/officeDocument/2006/relationships/hyperlink" Target="http://www.sec.gov/cgi-bin/browse-edgar?action=getcompany&amp;CIK=00018593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712</Words>
  <Characters>3842</Characters>
  <CharactersWithSpaces>4480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