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107415.xml.htm"/>
      <w:bookmarkStart w:id="1" w:name="kswkform4_17861074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Paquette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GALAXY DIGITAL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VESEY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10282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Galaxy Digital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GLXY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969"/>
        <w:gridCol w:w="449"/>
        <w:gridCol w:w="752"/>
        <w:gridCol w:w="1186"/>
        <w:gridCol w:w="991"/>
        <w:gridCol w:w="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11.77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505,777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11.77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03/31/2030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Class A common stock acquired with cash upon the exercise of 75,000 stock options now held.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378,747 shares of Class A common stock to be delivered in settlement of restricted stock units, subject to continued service through the applicable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option award was granted March 31, 2025 and vests over four years, with 1/4 vesting on each of the first four anniversaries of December 26, 2024, subject to continued service through the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Frances Fuqua, Attorney-in-Fact for Anthony Paquette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2994" TargetMode="External"/><Relationship Id="rId5" Type="http://schemas.openxmlformats.org/officeDocument/2006/relationships/hyperlink" Target="http://www.sec.gov/cgi-bin/browse-edgar?action=getcompany&amp;CIK=00018593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671</Words>
  <Characters>3622</Characters>
  <CharactersWithSpaces>4210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